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96D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560" w:lineRule="exact"/>
        <w:jc w:val="center"/>
        <w:textAlignment w:val="auto"/>
        <w:rPr>
          <w:rFonts w:hint="default" w:ascii="宋体" w:hAnsi="宋体" w:eastAsia="宋体" w:cs="宋体"/>
          <w:sz w:val="18"/>
          <w:szCs w:val="18"/>
          <w:lang w:val="en-US" w:eastAsia="zh-CN"/>
        </w:rPr>
      </w:pPr>
      <w:r>
        <w:rPr>
          <w:rFonts w:ascii="宋体" w:hAnsi="宋体" w:eastAsia="宋体" w:cs="宋体"/>
          <w:sz w:val="18"/>
          <w:szCs w:val="18"/>
        </w:rPr>
        <w:t>证券代码：001219                      证券简称：青岛食品                      公告编号：</w:t>
      </w:r>
      <w:r>
        <w:rPr>
          <w:rFonts w:hint="eastAsia" w:ascii="宋体" w:hAnsi="宋体" w:eastAsia="宋体" w:cs="宋体"/>
          <w:sz w:val="18"/>
          <w:szCs w:val="18"/>
          <w:lang w:val="en-US" w:eastAsia="zh-CN"/>
        </w:rPr>
        <w:t>2026-0</w:t>
      </w:r>
      <w:r>
        <w:rPr>
          <w:rFonts w:hint="eastAsia" w:ascii="宋体" w:hAnsi="宋体" w:cs="宋体"/>
          <w:sz w:val="18"/>
          <w:szCs w:val="18"/>
          <w:lang w:val="en-US" w:eastAsia="zh-CN"/>
        </w:rPr>
        <w:t>33</w:t>
      </w:r>
      <w:bookmarkStart w:id="9" w:name="_GoBack"/>
      <w:bookmarkEnd w:id="9"/>
    </w:p>
    <w:p w14:paraId="7E2E4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400" w:lineRule="exact"/>
        <w:jc w:val="center"/>
        <w:textAlignment w:val="auto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ascii="宋体" w:hAnsi="宋体" w:eastAsia="宋体" w:cs="宋体"/>
          <w:b/>
          <w:bCs/>
          <w:sz w:val="36"/>
          <w:szCs w:val="36"/>
        </w:rPr>
        <w:t>青岛食品股份有限公司2026年半年度报告摘要</w:t>
      </w:r>
    </w:p>
    <w:p w14:paraId="78B6DB1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20" w:lineRule="exact"/>
        <w:jc w:val="left"/>
        <w:textAlignment w:val="auto"/>
        <w:outlineLvl w:val="1"/>
        <w:rPr>
          <w:rFonts w:ascii="宋体" w:hAnsi="宋体" w:eastAsia="宋体" w:cs="宋体"/>
          <w:b/>
          <w:bCs/>
          <w:sz w:val="24"/>
          <w:szCs w:val="24"/>
        </w:rPr>
      </w:pPr>
      <w:bookmarkStart w:id="0" w:name="_Toc988889"/>
      <w:r>
        <w:rPr>
          <w:rFonts w:ascii="宋体" w:hAnsi="宋体" w:eastAsia="宋体" w:cs="宋体"/>
          <w:b/>
          <w:bCs/>
          <w:sz w:val="24"/>
          <w:szCs w:val="24"/>
        </w:rPr>
        <w:t>一、重要提示</w:t>
      </w:r>
      <w:bookmarkEnd w:id="0"/>
    </w:p>
    <w:p w14:paraId="4444E45F">
      <w:pPr>
        <w:spacing w:before="40" w:after="40" w:line="240" w:lineRule="exact"/>
        <w:jc w:val="lef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本半年度报告摘要来自半年度报告全文，为全面了解本公司的经营成果、财务状况及未来发展规划，投资者应当到证监会指定媒体仔细阅读半年度报告全文。</w:t>
      </w:r>
    </w:p>
    <w:p w14:paraId="5F2E6FF7">
      <w:pPr>
        <w:spacing w:before="0" w:after="0" w:line="240" w:lineRule="exact"/>
        <w:jc w:val="lef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所有董事均已出席了审议本报告的董事会会议。</w:t>
      </w:r>
    </w:p>
    <w:p w14:paraId="2D8CDA2D">
      <w:pPr>
        <w:spacing w:before="100" w:after="100" w:line="240" w:lineRule="exact"/>
        <w:jc w:val="lef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非标准审计意见提示</w:t>
      </w:r>
    </w:p>
    <w:p w14:paraId="503D4411">
      <w:pPr>
        <w:spacing w:before="0" w:after="0" w:line="240" w:lineRule="exact"/>
        <w:jc w:val="lef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 xml:space="preserve">□适用 </w:t>
      </w:r>
      <w:r>
        <w:rPr>
          <w:rFonts w:ascii="宋体" w:hAnsi="宋体" w:eastAsia="宋体" w:cs="宋体"/>
          <w:sz w:val="18"/>
          <w:szCs w:val="18"/>
        </w:rPr>
        <w:sym w:font="Wingdings 2" w:char="F052"/>
      </w:r>
      <w:r>
        <w:rPr>
          <w:rFonts w:ascii="宋体" w:hAnsi="宋体" w:eastAsia="宋体" w:cs="宋体"/>
          <w:sz w:val="18"/>
          <w:szCs w:val="18"/>
        </w:rPr>
        <w:t>不适用</w:t>
      </w:r>
    </w:p>
    <w:p w14:paraId="76AD644E">
      <w:pPr>
        <w:spacing w:before="100" w:after="40" w:line="240" w:lineRule="exact"/>
        <w:jc w:val="lef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董事会审议的报告期利润分配预案或公积金转增股本预案</w:t>
      </w:r>
    </w:p>
    <w:p w14:paraId="0022E062">
      <w:pPr>
        <w:spacing w:before="0" w:after="0" w:line="240" w:lineRule="exact"/>
        <w:jc w:val="lef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sym w:font="Wingdings 2" w:char="F052"/>
      </w:r>
      <w:r>
        <w:rPr>
          <w:rFonts w:ascii="宋体" w:hAnsi="宋体" w:eastAsia="宋体" w:cs="宋体"/>
          <w:sz w:val="18"/>
          <w:szCs w:val="18"/>
        </w:rPr>
        <w:t>适用 □不适用</w:t>
      </w:r>
    </w:p>
    <w:p w14:paraId="3B232D05">
      <w:pPr>
        <w:spacing w:before="40" w:after="40" w:line="240" w:lineRule="exact"/>
        <w:jc w:val="lef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是否以公积金转增股本</w:t>
      </w:r>
    </w:p>
    <w:p w14:paraId="5A5AABDE">
      <w:pPr>
        <w:spacing w:before="0" w:after="0" w:line="240" w:lineRule="exact"/>
        <w:jc w:val="lef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 xml:space="preserve">□是 </w:t>
      </w:r>
      <w:r>
        <w:rPr>
          <w:rFonts w:ascii="宋体" w:hAnsi="宋体" w:eastAsia="宋体" w:cs="宋体"/>
          <w:sz w:val="18"/>
          <w:szCs w:val="18"/>
        </w:rPr>
        <w:sym w:font="Wingdings 2" w:char="F052"/>
      </w:r>
      <w:r>
        <w:rPr>
          <w:rFonts w:ascii="宋体" w:hAnsi="宋体" w:eastAsia="宋体" w:cs="宋体"/>
          <w:sz w:val="18"/>
          <w:szCs w:val="18"/>
        </w:rPr>
        <w:t>否</w:t>
      </w:r>
    </w:p>
    <w:p w14:paraId="220BEA11">
      <w:pPr>
        <w:spacing w:before="40" w:after="40" w:line="240" w:lineRule="exact"/>
        <w:jc w:val="lef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公司经本次董事会审议通过的利润分配预案为：以194,983,750</w:t>
      </w:r>
      <w:r>
        <w:rPr>
          <w:rFonts w:hint="eastAsia" w:ascii="宋体" w:hAnsi="宋体" w:eastAsia="宋体" w:cs="宋体"/>
          <w:sz w:val="18"/>
          <w:szCs w:val="18"/>
          <w:lang w:val="en-US" w:eastAsia="zh-CN"/>
        </w:rPr>
        <w:t>股</w:t>
      </w:r>
      <w:r>
        <w:rPr>
          <w:rFonts w:ascii="宋体" w:hAnsi="宋体" w:eastAsia="宋体" w:cs="宋体"/>
          <w:sz w:val="18"/>
          <w:szCs w:val="18"/>
        </w:rPr>
        <w:t>为基数，向全体股东每10股派发现金红利1.10元（含税），</w:t>
      </w:r>
      <w:r>
        <w:rPr>
          <w:rFonts w:hint="eastAsia" w:ascii="宋体" w:hAnsi="宋体" w:eastAsia="宋体" w:cs="宋体"/>
          <w:sz w:val="18"/>
          <w:szCs w:val="18"/>
          <w:lang w:val="en-US" w:eastAsia="zh-CN"/>
        </w:rPr>
        <w:t>不送红股</w:t>
      </w:r>
      <w:r>
        <w:rPr>
          <w:rFonts w:ascii="宋体" w:hAnsi="宋体" w:eastAsia="宋体" w:cs="宋体"/>
          <w:sz w:val="18"/>
          <w:szCs w:val="18"/>
        </w:rPr>
        <w:t>，不以公积金转增股本。</w:t>
      </w:r>
    </w:p>
    <w:p w14:paraId="0830615C">
      <w:pPr>
        <w:spacing w:before="100" w:after="100" w:line="240" w:lineRule="exact"/>
        <w:jc w:val="lef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董事会决议通过的本报告期优先股利润分配预案</w:t>
      </w:r>
    </w:p>
    <w:p w14:paraId="21CD93E4">
      <w:pPr>
        <w:spacing w:before="0" w:after="0" w:line="240" w:lineRule="exact"/>
        <w:jc w:val="lef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 xml:space="preserve">□适用 </w:t>
      </w:r>
      <w:r>
        <w:rPr>
          <w:rFonts w:ascii="宋体" w:hAnsi="宋体" w:eastAsia="宋体" w:cs="宋体"/>
          <w:sz w:val="18"/>
          <w:szCs w:val="18"/>
        </w:rPr>
        <w:sym w:font="Wingdings 2" w:char="F052"/>
      </w:r>
      <w:r>
        <w:rPr>
          <w:rFonts w:ascii="宋体" w:hAnsi="宋体" w:eastAsia="宋体" w:cs="宋体"/>
          <w:sz w:val="18"/>
          <w:szCs w:val="18"/>
        </w:rPr>
        <w:t>不适用</w:t>
      </w:r>
    </w:p>
    <w:p w14:paraId="3EB2721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20" w:lineRule="exact"/>
        <w:jc w:val="left"/>
        <w:textAlignment w:val="auto"/>
        <w:outlineLvl w:val="1"/>
        <w:rPr>
          <w:rFonts w:ascii="宋体" w:hAnsi="宋体" w:eastAsia="宋体" w:cs="宋体"/>
          <w:b/>
          <w:bCs/>
          <w:sz w:val="24"/>
          <w:szCs w:val="24"/>
        </w:rPr>
      </w:pPr>
      <w:bookmarkStart w:id="1" w:name="_Toc988890"/>
      <w:r>
        <w:rPr>
          <w:rFonts w:ascii="宋体" w:hAnsi="宋体" w:eastAsia="宋体" w:cs="宋体"/>
          <w:b/>
          <w:bCs/>
          <w:sz w:val="24"/>
          <w:szCs w:val="24"/>
        </w:rPr>
        <w:t>二、公司基本情况</w:t>
      </w:r>
      <w:bookmarkEnd w:id="1"/>
    </w:p>
    <w:p w14:paraId="045D11F2">
      <w:pPr>
        <w:pStyle w:val="3"/>
        <w:keepNext/>
        <w:keepLines/>
        <w:spacing w:before="300" w:after="300" w:line="280" w:lineRule="exact"/>
        <w:jc w:val="left"/>
        <w:outlineLvl w:val="2"/>
        <w:rPr>
          <w:rFonts w:ascii="宋体" w:hAnsi="宋体" w:eastAsia="宋体" w:cs="宋体"/>
          <w:b/>
          <w:bCs/>
          <w:sz w:val="21"/>
          <w:szCs w:val="21"/>
        </w:rPr>
      </w:pPr>
      <w:bookmarkStart w:id="2" w:name="_Toc988891"/>
      <w:r>
        <w:rPr>
          <w:rFonts w:ascii="宋体" w:hAnsi="宋体" w:eastAsia="宋体" w:cs="宋体"/>
          <w:b/>
          <w:bCs/>
          <w:sz w:val="21"/>
          <w:szCs w:val="21"/>
        </w:rPr>
        <w:t>1、公司简介</w:t>
      </w:r>
      <w:bookmarkEnd w:id="2"/>
    </w:p>
    <w:tbl>
      <w:tblPr>
        <w:tblStyle w:val="7"/>
        <w:tblW w:w="96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3"/>
        <w:gridCol w:w="2142"/>
        <w:gridCol w:w="1071"/>
        <w:gridCol w:w="1071"/>
        <w:gridCol w:w="2142"/>
      </w:tblGrid>
      <w:tr w14:paraId="60480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3213" w:type="dxa"/>
            <w:shd w:val="clear" w:color="auto" w:fill="D3D3D3"/>
            <w:vAlign w:val="center"/>
          </w:tcPr>
          <w:p w14:paraId="087EA945">
            <w:pPr>
              <w:spacing w:before="40" w:after="4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股票简称</w:t>
            </w:r>
          </w:p>
        </w:tc>
        <w:tc>
          <w:tcPr>
            <w:tcW w:w="2142" w:type="dxa"/>
            <w:vAlign w:val="center"/>
          </w:tcPr>
          <w:p w14:paraId="0A10118B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青岛食品</w:t>
            </w:r>
          </w:p>
        </w:tc>
        <w:tc>
          <w:tcPr>
            <w:tcW w:w="2142" w:type="dxa"/>
            <w:gridSpan w:val="2"/>
            <w:shd w:val="clear" w:color="auto" w:fill="D3D3D3"/>
            <w:vAlign w:val="center"/>
          </w:tcPr>
          <w:p w14:paraId="124DB816">
            <w:pPr>
              <w:spacing w:before="40" w:after="4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股票代码</w:t>
            </w:r>
          </w:p>
        </w:tc>
        <w:tc>
          <w:tcPr>
            <w:tcW w:w="2142" w:type="dxa"/>
            <w:vAlign w:val="center"/>
          </w:tcPr>
          <w:p w14:paraId="591B104B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001219</w:t>
            </w:r>
          </w:p>
        </w:tc>
      </w:tr>
      <w:tr w14:paraId="07EB4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3213" w:type="dxa"/>
            <w:shd w:val="clear" w:color="auto" w:fill="D3D3D3"/>
            <w:vAlign w:val="center"/>
          </w:tcPr>
          <w:p w14:paraId="495AC405">
            <w:pPr>
              <w:spacing w:before="40" w:after="4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股票上市交易所</w:t>
            </w:r>
          </w:p>
        </w:tc>
        <w:tc>
          <w:tcPr>
            <w:tcW w:w="6426" w:type="dxa"/>
            <w:gridSpan w:val="4"/>
            <w:vAlign w:val="center"/>
          </w:tcPr>
          <w:p w14:paraId="4C59D4E6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深圳证券交易所</w:t>
            </w:r>
          </w:p>
        </w:tc>
      </w:tr>
      <w:tr w14:paraId="7B93E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3213" w:type="dxa"/>
            <w:shd w:val="clear" w:color="auto" w:fill="D3D3D3"/>
            <w:vAlign w:val="center"/>
          </w:tcPr>
          <w:p w14:paraId="341BED88">
            <w:pPr>
              <w:spacing w:before="40" w:after="40" w:line="24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联系人和联系方式</w:t>
            </w:r>
          </w:p>
        </w:tc>
        <w:tc>
          <w:tcPr>
            <w:tcW w:w="3213" w:type="dxa"/>
            <w:gridSpan w:val="2"/>
            <w:shd w:val="clear" w:color="auto" w:fill="D3D3D3"/>
            <w:vAlign w:val="center"/>
          </w:tcPr>
          <w:p w14:paraId="5E980A35">
            <w:pPr>
              <w:spacing w:before="40" w:after="40" w:line="24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董事会秘书</w:t>
            </w:r>
          </w:p>
        </w:tc>
        <w:tc>
          <w:tcPr>
            <w:tcW w:w="3213" w:type="dxa"/>
            <w:gridSpan w:val="2"/>
            <w:shd w:val="clear" w:color="auto" w:fill="D3D3D3"/>
            <w:vAlign w:val="center"/>
          </w:tcPr>
          <w:p w14:paraId="553E91F8">
            <w:pPr>
              <w:spacing w:before="40" w:after="40" w:line="24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证券事务代表</w:t>
            </w:r>
          </w:p>
        </w:tc>
      </w:tr>
      <w:tr w14:paraId="3A411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3213" w:type="dxa"/>
            <w:shd w:val="clear" w:color="auto" w:fill="D3D3D3"/>
            <w:vAlign w:val="center"/>
          </w:tcPr>
          <w:p w14:paraId="48C1FA8E">
            <w:pPr>
              <w:spacing w:before="40" w:after="4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姓名</w:t>
            </w:r>
          </w:p>
        </w:tc>
        <w:tc>
          <w:tcPr>
            <w:tcW w:w="3213" w:type="dxa"/>
            <w:gridSpan w:val="2"/>
            <w:vAlign w:val="center"/>
          </w:tcPr>
          <w:p w14:paraId="5D8D0F7D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张松涛</w:t>
            </w:r>
          </w:p>
        </w:tc>
        <w:tc>
          <w:tcPr>
            <w:tcW w:w="3213" w:type="dxa"/>
            <w:gridSpan w:val="2"/>
            <w:vAlign w:val="center"/>
          </w:tcPr>
          <w:p w14:paraId="484EFAE2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李春宏</w:t>
            </w:r>
          </w:p>
        </w:tc>
      </w:tr>
      <w:tr w14:paraId="09D6D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3213" w:type="dxa"/>
            <w:shd w:val="clear" w:color="auto" w:fill="D3D3D3"/>
            <w:vAlign w:val="center"/>
          </w:tcPr>
          <w:p w14:paraId="315A0697">
            <w:pPr>
              <w:spacing w:before="40" w:after="4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办公地址</w:t>
            </w:r>
          </w:p>
        </w:tc>
        <w:tc>
          <w:tcPr>
            <w:tcW w:w="3213" w:type="dxa"/>
            <w:gridSpan w:val="2"/>
            <w:vAlign w:val="center"/>
          </w:tcPr>
          <w:p w14:paraId="4B72591C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青岛市李沧区四流中支路2号</w:t>
            </w:r>
          </w:p>
        </w:tc>
        <w:tc>
          <w:tcPr>
            <w:tcW w:w="3213" w:type="dxa"/>
            <w:gridSpan w:val="2"/>
            <w:vAlign w:val="center"/>
          </w:tcPr>
          <w:p w14:paraId="077EDE7F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青岛市李沧区四流中支路2号</w:t>
            </w:r>
          </w:p>
        </w:tc>
      </w:tr>
      <w:tr w14:paraId="39221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3213" w:type="dxa"/>
            <w:shd w:val="clear" w:color="auto" w:fill="D3D3D3"/>
            <w:vAlign w:val="center"/>
          </w:tcPr>
          <w:p w14:paraId="61D557D1">
            <w:pPr>
              <w:spacing w:before="40" w:after="4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电话</w:t>
            </w:r>
          </w:p>
        </w:tc>
        <w:tc>
          <w:tcPr>
            <w:tcW w:w="3213" w:type="dxa"/>
            <w:gridSpan w:val="2"/>
            <w:vAlign w:val="center"/>
          </w:tcPr>
          <w:p w14:paraId="24B8F6AE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0532-84633589</w:t>
            </w:r>
          </w:p>
        </w:tc>
        <w:tc>
          <w:tcPr>
            <w:tcW w:w="3213" w:type="dxa"/>
            <w:gridSpan w:val="2"/>
            <w:vAlign w:val="center"/>
          </w:tcPr>
          <w:p w14:paraId="7DB5BDEA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0532-84633589</w:t>
            </w:r>
          </w:p>
        </w:tc>
      </w:tr>
      <w:tr w14:paraId="65FBD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3213" w:type="dxa"/>
            <w:shd w:val="clear" w:color="auto" w:fill="D3D3D3"/>
            <w:vAlign w:val="center"/>
          </w:tcPr>
          <w:p w14:paraId="0BA1CCD9">
            <w:pPr>
              <w:spacing w:before="40" w:after="4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电子信箱</w:t>
            </w:r>
          </w:p>
        </w:tc>
        <w:tc>
          <w:tcPr>
            <w:tcW w:w="3213" w:type="dxa"/>
            <w:gridSpan w:val="2"/>
            <w:vAlign w:val="center"/>
          </w:tcPr>
          <w:p w14:paraId="3CF27660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ir@qdfood.com</w:t>
            </w:r>
          </w:p>
        </w:tc>
        <w:tc>
          <w:tcPr>
            <w:tcW w:w="3213" w:type="dxa"/>
            <w:gridSpan w:val="2"/>
            <w:vAlign w:val="center"/>
          </w:tcPr>
          <w:p w14:paraId="00942FC6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ir@qdfood.com</w:t>
            </w:r>
          </w:p>
        </w:tc>
      </w:tr>
    </w:tbl>
    <w:p w14:paraId="11542B89">
      <w:pPr>
        <w:pStyle w:val="3"/>
        <w:keepNext/>
        <w:keepLines/>
        <w:spacing w:before="300" w:after="300" w:line="280" w:lineRule="exact"/>
        <w:jc w:val="left"/>
        <w:outlineLvl w:val="2"/>
        <w:rPr>
          <w:rFonts w:ascii="宋体" w:hAnsi="宋体" w:eastAsia="宋体" w:cs="宋体"/>
          <w:b/>
          <w:bCs/>
          <w:sz w:val="21"/>
          <w:szCs w:val="21"/>
        </w:rPr>
      </w:pPr>
      <w:bookmarkStart w:id="3" w:name="_Toc988892"/>
      <w:r>
        <w:rPr>
          <w:rFonts w:ascii="宋体" w:hAnsi="宋体" w:eastAsia="宋体" w:cs="宋体"/>
          <w:b/>
          <w:bCs/>
          <w:sz w:val="21"/>
          <w:szCs w:val="21"/>
        </w:rPr>
        <w:t>2、主要会计数据和财务指标</w:t>
      </w:r>
      <w:bookmarkEnd w:id="3"/>
    </w:p>
    <w:p w14:paraId="73D6BF27">
      <w:pPr>
        <w:spacing w:before="0" w:after="0" w:line="240" w:lineRule="exact"/>
        <w:jc w:val="lef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公司是否需追溯调整或重述以前年度会计数据</w:t>
      </w:r>
    </w:p>
    <w:p w14:paraId="0012FFFF">
      <w:pPr>
        <w:spacing w:before="40" w:after="40" w:line="240" w:lineRule="exact"/>
        <w:jc w:val="lef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 xml:space="preserve">□是 </w:t>
      </w:r>
      <w:r>
        <w:rPr>
          <w:rFonts w:ascii="宋体" w:hAnsi="宋体" w:eastAsia="宋体" w:cs="宋体"/>
          <w:sz w:val="18"/>
          <w:szCs w:val="18"/>
        </w:rPr>
        <w:sym w:font="Wingdings 2" w:char="F052"/>
      </w:r>
      <w:r>
        <w:rPr>
          <w:rFonts w:ascii="宋体" w:hAnsi="宋体" w:eastAsia="宋体" w:cs="宋体"/>
          <w:sz w:val="18"/>
          <w:szCs w:val="18"/>
        </w:rPr>
        <w:t>否</w:t>
      </w:r>
    </w:p>
    <w:tbl>
      <w:tblPr>
        <w:tblStyle w:val="7"/>
        <w:tblW w:w="9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33"/>
        <w:gridCol w:w="1695"/>
        <w:gridCol w:w="1695"/>
        <w:gridCol w:w="2217"/>
      </w:tblGrid>
      <w:tr w14:paraId="7DD4A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4033" w:type="dxa"/>
            <w:shd w:val="clear" w:color="auto" w:fill="D3D3D3"/>
            <w:vAlign w:val="center"/>
          </w:tcPr>
          <w:p w14:paraId="250D1861"/>
        </w:tc>
        <w:tc>
          <w:tcPr>
            <w:tcW w:w="1695" w:type="dxa"/>
            <w:shd w:val="clear" w:color="auto" w:fill="D3D3D3"/>
            <w:vAlign w:val="center"/>
          </w:tcPr>
          <w:p w14:paraId="39D1EEDD">
            <w:pPr>
              <w:spacing w:before="40" w:after="40" w:line="24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本报告期</w:t>
            </w:r>
          </w:p>
        </w:tc>
        <w:tc>
          <w:tcPr>
            <w:tcW w:w="1695" w:type="dxa"/>
            <w:shd w:val="clear" w:color="auto" w:fill="D3D3D3"/>
            <w:vAlign w:val="center"/>
          </w:tcPr>
          <w:p w14:paraId="3AE2BF52">
            <w:pPr>
              <w:spacing w:before="40" w:after="40" w:line="24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上年同期</w:t>
            </w:r>
          </w:p>
        </w:tc>
        <w:tc>
          <w:tcPr>
            <w:tcW w:w="2217" w:type="dxa"/>
            <w:shd w:val="clear" w:color="auto" w:fill="D3D3D3"/>
            <w:vAlign w:val="center"/>
          </w:tcPr>
          <w:p w14:paraId="72073E57">
            <w:pPr>
              <w:spacing w:before="40" w:after="40" w:line="24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本报告期比上年同期增减</w:t>
            </w:r>
          </w:p>
        </w:tc>
      </w:tr>
      <w:tr w14:paraId="4EAA9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4033" w:type="dxa"/>
            <w:shd w:val="clear" w:color="auto" w:fill="D3D3D3"/>
            <w:vAlign w:val="center"/>
          </w:tcPr>
          <w:p w14:paraId="01C053DF">
            <w:pPr>
              <w:spacing w:before="40" w:after="4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营业收入（元）</w:t>
            </w:r>
          </w:p>
        </w:tc>
        <w:tc>
          <w:tcPr>
            <w:tcW w:w="1695" w:type="dxa"/>
            <w:vAlign w:val="center"/>
          </w:tcPr>
          <w:p w14:paraId="6895FA13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291,417,325.02</w:t>
            </w:r>
          </w:p>
        </w:tc>
        <w:tc>
          <w:tcPr>
            <w:tcW w:w="1695" w:type="dxa"/>
            <w:vAlign w:val="center"/>
          </w:tcPr>
          <w:p w14:paraId="5D8F4BAF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276,522,537.56</w:t>
            </w:r>
          </w:p>
        </w:tc>
        <w:tc>
          <w:tcPr>
            <w:tcW w:w="2217" w:type="dxa"/>
            <w:vAlign w:val="center"/>
          </w:tcPr>
          <w:p w14:paraId="638311CC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5.39%</w:t>
            </w:r>
          </w:p>
        </w:tc>
      </w:tr>
      <w:tr w14:paraId="5C13A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4033" w:type="dxa"/>
            <w:shd w:val="clear" w:color="auto" w:fill="D3D3D3"/>
            <w:vAlign w:val="center"/>
          </w:tcPr>
          <w:p w14:paraId="77059383">
            <w:pPr>
              <w:spacing w:before="40" w:after="4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归属于上市公司股东的净利润（元）</w:t>
            </w:r>
          </w:p>
        </w:tc>
        <w:tc>
          <w:tcPr>
            <w:tcW w:w="1695" w:type="dxa"/>
            <w:vAlign w:val="center"/>
          </w:tcPr>
          <w:p w14:paraId="4F57441B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65,609,338.69</w:t>
            </w:r>
          </w:p>
        </w:tc>
        <w:tc>
          <w:tcPr>
            <w:tcW w:w="1695" w:type="dxa"/>
            <w:vAlign w:val="center"/>
          </w:tcPr>
          <w:p w14:paraId="63C1E2AD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64,725,533.93</w:t>
            </w:r>
          </w:p>
        </w:tc>
        <w:tc>
          <w:tcPr>
            <w:tcW w:w="2217" w:type="dxa"/>
            <w:vAlign w:val="center"/>
          </w:tcPr>
          <w:p w14:paraId="7D106088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1.37%</w:t>
            </w:r>
          </w:p>
        </w:tc>
      </w:tr>
      <w:tr w14:paraId="3F996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4033" w:type="dxa"/>
            <w:shd w:val="clear" w:color="auto" w:fill="D3D3D3"/>
            <w:vAlign w:val="center"/>
          </w:tcPr>
          <w:p w14:paraId="20AC0469">
            <w:pPr>
              <w:spacing w:before="40" w:after="4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归属于上市公司股东的扣除非经常性损益的净利润（元）</w:t>
            </w:r>
          </w:p>
        </w:tc>
        <w:tc>
          <w:tcPr>
            <w:tcW w:w="1695" w:type="dxa"/>
            <w:vAlign w:val="center"/>
          </w:tcPr>
          <w:p w14:paraId="34B3779D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62,254,563.94</w:t>
            </w:r>
          </w:p>
        </w:tc>
        <w:tc>
          <w:tcPr>
            <w:tcW w:w="1695" w:type="dxa"/>
            <w:vAlign w:val="center"/>
          </w:tcPr>
          <w:p w14:paraId="5A47D752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61,508,273.47</w:t>
            </w:r>
          </w:p>
        </w:tc>
        <w:tc>
          <w:tcPr>
            <w:tcW w:w="2217" w:type="dxa"/>
            <w:vAlign w:val="center"/>
          </w:tcPr>
          <w:p w14:paraId="3649352B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1.21%</w:t>
            </w:r>
          </w:p>
        </w:tc>
      </w:tr>
      <w:tr w14:paraId="121E9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4033" w:type="dxa"/>
            <w:shd w:val="clear" w:color="auto" w:fill="D3D3D3"/>
            <w:vAlign w:val="center"/>
          </w:tcPr>
          <w:p w14:paraId="3A8941EF">
            <w:pPr>
              <w:spacing w:before="40" w:after="4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经营活动产生的现金流量净额（元）</w:t>
            </w:r>
          </w:p>
        </w:tc>
        <w:tc>
          <w:tcPr>
            <w:tcW w:w="1695" w:type="dxa"/>
            <w:vAlign w:val="center"/>
          </w:tcPr>
          <w:p w14:paraId="5E5EA202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17,149,818.73</w:t>
            </w:r>
          </w:p>
        </w:tc>
        <w:tc>
          <w:tcPr>
            <w:tcW w:w="1695" w:type="dxa"/>
            <w:vAlign w:val="center"/>
          </w:tcPr>
          <w:p w14:paraId="4B1CABD5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54,053,092.35</w:t>
            </w:r>
          </w:p>
        </w:tc>
        <w:tc>
          <w:tcPr>
            <w:tcW w:w="2217" w:type="dxa"/>
            <w:vAlign w:val="center"/>
          </w:tcPr>
          <w:p w14:paraId="34F2E42D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-68.27%</w:t>
            </w:r>
          </w:p>
        </w:tc>
      </w:tr>
      <w:tr w14:paraId="2D081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4033" w:type="dxa"/>
            <w:shd w:val="clear" w:color="auto" w:fill="D3D3D3"/>
            <w:vAlign w:val="center"/>
          </w:tcPr>
          <w:p w14:paraId="163078CF">
            <w:pPr>
              <w:spacing w:before="40" w:after="4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基本每股收益（元/股）</w:t>
            </w:r>
          </w:p>
        </w:tc>
        <w:tc>
          <w:tcPr>
            <w:tcW w:w="1695" w:type="dxa"/>
            <w:vAlign w:val="center"/>
          </w:tcPr>
          <w:p w14:paraId="66DDFFBD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0.34</w:t>
            </w:r>
          </w:p>
        </w:tc>
        <w:tc>
          <w:tcPr>
            <w:tcW w:w="1695" w:type="dxa"/>
            <w:vAlign w:val="center"/>
          </w:tcPr>
          <w:p w14:paraId="69E884C4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0.33</w:t>
            </w:r>
          </w:p>
        </w:tc>
        <w:tc>
          <w:tcPr>
            <w:tcW w:w="2217" w:type="dxa"/>
            <w:vAlign w:val="center"/>
          </w:tcPr>
          <w:p w14:paraId="4A8B5948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3.03%</w:t>
            </w:r>
          </w:p>
        </w:tc>
      </w:tr>
      <w:tr w14:paraId="16041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4033" w:type="dxa"/>
            <w:shd w:val="clear" w:color="auto" w:fill="D3D3D3"/>
            <w:vAlign w:val="center"/>
          </w:tcPr>
          <w:p w14:paraId="6726749B">
            <w:pPr>
              <w:spacing w:before="40" w:after="4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稀释每股收益（元/股）</w:t>
            </w:r>
          </w:p>
        </w:tc>
        <w:tc>
          <w:tcPr>
            <w:tcW w:w="1695" w:type="dxa"/>
            <w:vAlign w:val="center"/>
          </w:tcPr>
          <w:p w14:paraId="12D3CB96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0.34</w:t>
            </w:r>
          </w:p>
        </w:tc>
        <w:tc>
          <w:tcPr>
            <w:tcW w:w="1695" w:type="dxa"/>
            <w:vAlign w:val="center"/>
          </w:tcPr>
          <w:p w14:paraId="523DEF01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0.33</w:t>
            </w:r>
          </w:p>
        </w:tc>
        <w:tc>
          <w:tcPr>
            <w:tcW w:w="2217" w:type="dxa"/>
            <w:vAlign w:val="center"/>
          </w:tcPr>
          <w:p w14:paraId="546444D5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3.03%</w:t>
            </w:r>
          </w:p>
        </w:tc>
      </w:tr>
      <w:tr w14:paraId="79858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4033" w:type="dxa"/>
            <w:shd w:val="clear" w:color="auto" w:fill="D3D3D3"/>
            <w:vAlign w:val="center"/>
          </w:tcPr>
          <w:p w14:paraId="79B52548">
            <w:pPr>
              <w:spacing w:before="40" w:after="4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加权平均净资产收益率</w:t>
            </w:r>
          </w:p>
        </w:tc>
        <w:tc>
          <w:tcPr>
            <w:tcW w:w="1695" w:type="dxa"/>
            <w:vAlign w:val="center"/>
          </w:tcPr>
          <w:p w14:paraId="00F9B08E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6.05%</w:t>
            </w:r>
          </w:p>
        </w:tc>
        <w:tc>
          <w:tcPr>
            <w:tcW w:w="1695" w:type="dxa"/>
            <w:vAlign w:val="center"/>
          </w:tcPr>
          <w:p w14:paraId="798D082D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6.16%</w:t>
            </w:r>
          </w:p>
        </w:tc>
        <w:tc>
          <w:tcPr>
            <w:tcW w:w="2217" w:type="dxa"/>
            <w:vAlign w:val="center"/>
          </w:tcPr>
          <w:p w14:paraId="208FFE9D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-0.11%</w:t>
            </w:r>
          </w:p>
        </w:tc>
      </w:tr>
      <w:tr w14:paraId="192D2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4033" w:type="dxa"/>
            <w:shd w:val="clear" w:color="auto" w:fill="D3D3D3"/>
            <w:vAlign w:val="center"/>
          </w:tcPr>
          <w:p w14:paraId="14AFA92E"/>
        </w:tc>
        <w:tc>
          <w:tcPr>
            <w:tcW w:w="1695" w:type="dxa"/>
            <w:shd w:val="clear" w:color="auto" w:fill="D3D3D3"/>
            <w:vAlign w:val="center"/>
          </w:tcPr>
          <w:p w14:paraId="696ECB61">
            <w:pPr>
              <w:spacing w:before="40" w:after="40" w:line="24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本报告期末</w:t>
            </w:r>
          </w:p>
        </w:tc>
        <w:tc>
          <w:tcPr>
            <w:tcW w:w="1695" w:type="dxa"/>
            <w:shd w:val="clear" w:color="auto" w:fill="D3D3D3"/>
            <w:vAlign w:val="center"/>
          </w:tcPr>
          <w:p w14:paraId="5A63D116">
            <w:pPr>
              <w:spacing w:before="40" w:after="40" w:line="24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上年度末</w:t>
            </w:r>
          </w:p>
        </w:tc>
        <w:tc>
          <w:tcPr>
            <w:tcW w:w="2217" w:type="dxa"/>
            <w:shd w:val="clear" w:color="auto" w:fill="D3D3D3"/>
            <w:vAlign w:val="center"/>
          </w:tcPr>
          <w:p w14:paraId="39FD3F76">
            <w:pPr>
              <w:spacing w:before="40" w:after="40" w:line="24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本报告期末比上年度末增减</w:t>
            </w:r>
          </w:p>
        </w:tc>
      </w:tr>
      <w:tr w14:paraId="31AE8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4033" w:type="dxa"/>
            <w:shd w:val="clear" w:color="auto" w:fill="D3D3D3"/>
            <w:vAlign w:val="center"/>
          </w:tcPr>
          <w:p w14:paraId="0BC0464F">
            <w:pPr>
              <w:spacing w:before="40" w:after="4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总资产（元）</w:t>
            </w:r>
          </w:p>
        </w:tc>
        <w:tc>
          <w:tcPr>
            <w:tcW w:w="1695" w:type="dxa"/>
            <w:vAlign w:val="center"/>
          </w:tcPr>
          <w:p w14:paraId="02441AFD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1,230,911,526.14</w:t>
            </w:r>
          </w:p>
        </w:tc>
        <w:tc>
          <w:tcPr>
            <w:tcW w:w="1695" w:type="dxa"/>
            <w:vAlign w:val="center"/>
          </w:tcPr>
          <w:p w14:paraId="0FFC5A1F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1,328,566,317.43</w:t>
            </w:r>
          </w:p>
        </w:tc>
        <w:tc>
          <w:tcPr>
            <w:tcW w:w="2217" w:type="dxa"/>
            <w:vAlign w:val="center"/>
          </w:tcPr>
          <w:p w14:paraId="308BBC6D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-7.35%</w:t>
            </w:r>
          </w:p>
        </w:tc>
      </w:tr>
      <w:tr w14:paraId="3EFEE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4033" w:type="dxa"/>
            <w:shd w:val="clear" w:color="auto" w:fill="D3D3D3"/>
            <w:vAlign w:val="center"/>
          </w:tcPr>
          <w:p w14:paraId="0D03AD23">
            <w:pPr>
              <w:spacing w:before="40" w:after="4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归属于上市公司股东的净资产（元）</w:t>
            </w:r>
          </w:p>
        </w:tc>
        <w:tc>
          <w:tcPr>
            <w:tcW w:w="1695" w:type="dxa"/>
            <w:vAlign w:val="center"/>
          </w:tcPr>
          <w:p w14:paraId="1EC719D0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1,077,381,525.81</w:t>
            </w:r>
          </w:p>
        </w:tc>
        <w:tc>
          <w:tcPr>
            <w:tcW w:w="1695" w:type="dxa"/>
            <w:vAlign w:val="center"/>
          </w:tcPr>
          <w:p w14:paraId="436572BC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1,060,419,407.90</w:t>
            </w:r>
          </w:p>
        </w:tc>
        <w:tc>
          <w:tcPr>
            <w:tcW w:w="2217" w:type="dxa"/>
            <w:vAlign w:val="center"/>
          </w:tcPr>
          <w:p w14:paraId="690D5A87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1.60%</w:t>
            </w:r>
          </w:p>
        </w:tc>
      </w:tr>
    </w:tbl>
    <w:p w14:paraId="22C69C38">
      <w:pPr>
        <w:pStyle w:val="3"/>
        <w:keepNext/>
        <w:keepLines/>
        <w:spacing w:before="300" w:after="300" w:line="280" w:lineRule="exact"/>
        <w:jc w:val="left"/>
        <w:outlineLvl w:val="2"/>
        <w:rPr>
          <w:rFonts w:ascii="宋体" w:hAnsi="宋体" w:eastAsia="宋体" w:cs="宋体"/>
          <w:b/>
          <w:bCs/>
          <w:sz w:val="21"/>
          <w:szCs w:val="21"/>
        </w:rPr>
      </w:pPr>
      <w:bookmarkStart w:id="4" w:name="_Toc988893"/>
      <w:r>
        <w:rPr>
          <w:rFonts w:ascii="宋体" w:hAnsi="宋体" w:eastAsia="宋体" w:cs="宋体"/>
          <w:b/>
          <w:bCs/>
          <w:sz w:val="21"/>
          <w:szCs w:val="21"/>
        </w:rPr>
        <w:t>3、公司股东数量及持股情况</w:t>
      </w:r>
      <w:bookmarkEnd w:id="4"/>
    </w:p>
    <w:p w14:paraId="5C79E361">
      <w:pPr>
        <w:spacing w:before="120" w:after="120" w:line="240" w:lineRule="exact"/>
        <w:jc w:val="righ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单位：股</w:t>
      </w:r>
    </w:p>
    <w:tbl>
      <w:tblPr>
        <w:tblStyle w:val="7"/>
        <w:tblW w:w="96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405"/>
        <w:gridCol w:w="1230"/>
        <w:gridCol w:w="507"/>
        <w:gridCol w:w="618"/>
        <w:gridCol w:w="1275"/>
        <w:gridCol w:w="1320"/>
        <w:gridCol w:w="345"/>
        <w:gridCol w:w="726"/>
        <w:gridCol w:w="1071"/>
      </w:tblGrid>
      <w:tr w14:paraId="30CA0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547" w:type="dxa"/>
            <w:gridSpan w:val="2"/>
            <w:shd w:val="clear" w:color="auto" w:fill="D3D3D3"/>
            <w:vAlign w:val="center"/>
          </w:tcPr>
          <w:p w14:paraId="1819896F">
            <w:pPr>
              <w:spacing w:before="40" w:after="4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报告期末普通股股东总数</w:t>
            </w:r>
          </w:p>
        </w:tc>
        <w:tc>
          <w:tcPr>
            <w:tcW w:w="1737" w:type="dxa"/>
            <w:gridSpan w:val="2"/>
            <w:vAlign w:val="center"/>
          </w:tcPr>
          <w:p w14:paraId="5675C57A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12,481</w:t>
            </w:r>
          </w:p>
        </w:tc>
        <w:tc>
          <w:tcPr>
            <w:tcW w:w="3558" w:type="dxa"/>
            <w:gridSpan w:val="4"/>
            <w:shd w:val="clear" w:color="auto" w:fill="D3D3D3"/>
            <w:vAlign w:val="center"/>
          </w:tcPr>
          <w:p w14:paraId="4B3717D8">
            <w:pPr>
              <w:spacing w:before="40" w:after="4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报告期末表决权恢复的优先股股东总数</w:t>
            </w:r>
          </w:p>
        </w:tc>
        <w:tc>
          <w:tcPr>
            <w:tcW w:w="1797" w:type="dxa"/>
            <w:gridSpan w:val="2"/>
            <w:vAlign w:val="center"/>
          </w:tcPr>
          <w:p w14:paraId="5923D0B1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</w:tr>
      <w:tr w14:paraId="3EA69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9639" w:type="dxa"/>
            <w:gridSpan w:val="10"/>
            <w:shd w:val="clear" w:color="auto" w:fill="D3D3D3"/>
            <w:vAlign w:val="center"/>
          </w:tcPr>
          <w:p w14:paraId="4BDAAD9B">
            <w:pPr>
              <w:spacing w:before="40" w:after="40" w:line="24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前10名股东持股情况（不含通过转融通出借股份）</w:t>
            </w:r>
          </w:p>
        </w:tc>
      </w:tr>
      <w:tr w14:paraId="0FD90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42" w:type="dxa"/>
            <w:vMerge w:val="restart"/>
            <w:shd w:val="clear" w:color="auto" w:fill="D3D3D3"/>
            <w:vAlign w:val="center"/>
          </w:tcPr>
          <w:p w14:paraId="149F1AD9">
            <w:pPr>
              <w:spacing w:before="40" w:after="40" w:line="24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股东名称</w:t>
            </w:r>
          </w:p>
        </w:tc>
        <w:tc>
          <w:tcPr>
            <w:tcW w:w="1635" w:type="dxa"/>
            <w:gridSpan w:val="2"/>
            <w:vMerge w:val="restart"/>
            <w:shd w:val="clear" w:color="auto" w:fill="D3D3D3"/>
            <w:vAlign w:val="center"/>
          </w:tcPr>
          <w:p w14:paraId="274B15C4">
            <w:pPr>
              <w:spacing w:before="40" w:after="40" w:line="24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股东性质</w:t>
            </w:r>
          </w:p>
        </w:tc>
        <w:tc>
          <w:tcPr>
            <w:tcW w:w="1125" w:type="dxa"/>
            <w:gridSpan w:val="2"/>
            <w:vMerge w:val="restart"/>
            <w:shd w:val="clear" w:color="auto" w:fill="D3D3D3"/>
            <w:vAlign w:val="center"/>
          </w:tcPr>
          <w:p w14:paraId="493C243D">
            <w:pPr>
              <w:spacing w:before="40" w:after="40" w:line="24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持股比例</w:t>
            </w:r>
          </w:p>
        </w:tc>
        <w:tc>
          <w:tcPr>
            <w:tcW w:w="1275" w:type="dxa"/>
            <w:vMerge w:val="restart"/>
            <w:shd w:val="clear" w:color="auto" w:fill="D3D3D3"/>
            <w:vAlign w:val="center"/>
          </w:tcPr>
          <w:p w14:paraId="22FBBBF1">
            <w:pPr>
              <w:spacing w:before="40" w:after="40" w:line="24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持股数量</w:t>
            </w:r>
          </w:p>
        </w:tc>
        <w:tc>
          <w:tcPr>
            <w:tcW w:w="1320" w:type="dxa"/>
            <w:vMerge w:val="restart"/>
            <w:shd w:val="clear" w:color="auto" w:fill="D3D3D3"/>
            <w:vAlign w:val="center"/>
          </w:tcPr>
          <w:p w14:paraId="774D7178">
            <w:pPr>
              <w:spacing w:before="40" w:after="40" w:line="24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持有有限售条件的股份数量</w:t>
            </w:r>
          </w:p>
        </w:tc>
        <w:tc>
          <w:tcPr>
            <w:tcW w:w="2142" w:type="dxa"/>
            <w:gridSpan w:val="3"/>
            <w:shd w:val="clear" w:color="auto" w:fill="D3D3D3"/>
            <w:vAlign w:val="center"/>
          </w:tcPr>
          <w:p w14:paraId="101CD4AA">
            <w:pPr>
              <w:spacing w:before="40" w:after="40" w:line="24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质押、标记或冻结情况</w:t>
            </w:r>
          </w:p>
        </w:tc>
      </w:tr>
      <w:tr w14:paraId="7C025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42" w:type="dxa"/>
            <w:vMerge w:val="continue"/>
            <w:shd w:val="clear" w:color="auto" w:fill="D3D3D3"/>
            <w:vAlign w:val="center"/>
          </w:tcPr>
          <w:p w14:paraId="3836B46F"/>
        </w:tc>
        <w:tc>
          <w:tcPr>
            <w:tcW w:w="1635" w:type="dxa"/>
            <w:gridSpan w:val="2"/>
            <w:vMerge w:val="continue"/>
            <w:shd w:val="clear" w:color="auto" w:fill="D3D3D3"/>
            <w:vAlign w:val="center"/>
          </w:tcPr>
          <w:p w14:paraId="18F2B5FD"/>
        </w:tc>
        <w:tc>
          <w:tcPr>
            <w:tcW w:w="1125" w:type="dxa"/>
            <w:gridSpan w:val="2"/>
            <w:vMerge w:val="continue"/>
            <w:shd w:val="clear" w:color="auto" w:fill="D3D3D3"/>
            <w:vAlign w:val="center"/>
          </w:tcPr>
          <w:p w14:paraId="1A491CFC"/>
        </w:tc>
        <w:tc>
          <w:tcPr>
            <w:tcW w:w="1275" w:type="dxa"/>
            <w:vMerge w:val="continue"/>
            <w:shd w:val="clear" w:color="auto" w:fill="D3D3D3"/>
            <w:vAlign w:val="center"/>
          </w:tcPr>
          <w:p w14:paraId="5646940B"/>
        </w:tc>
        <w:tc>
          <w:tcPr>
            <w:tcW w:w="1320" w:type="dxa"/>
            <w:vMerge w:val="continue"/>
            <w:shd w:val="clear" w:color="auto" w:fill="D3D3D3"/>
            <w:vAlign w:val="center"/>
          </w:tcPr>
          <w:p w14:paraId="6D35D051"/>
        </w:tc>
        <w:tc>
          <w:tcPr>
            <w:tcW w:w="1071" w:type="dxa"/>
            <w:gridSpan w:val="2"/>
            <w:shd w:val="clear" w:color="auto" w:fill="D3D3D3"/>
            <w:vAlign w:val="center"/>
          </w:tcPr>
          <w:p w14:paraId="2B40D5C0">
            <w:pPr>
              <w:spacing w:before="40" w:after="40" w:line="24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股份状态</w:t>
            </w:r>
          </w:p>
        </w:tc>
        <w:tc>
          <w:tcPr>
            <w:tcW w:w="1071" w:type="dxa"/>
            <w:shd w:val="clear" w:color="auto" w:fill="D3D3D3"/>
            <w:vAlign w:val="center"/>
          </w:tcPr>
          <w:p w14:paraId="35E8EA2A">
            <w:pPr>
              <w:spacing w:before="40" w:after="40" w:line="24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数量</w:t>
            </w:r>
          </w:p>
        </w:tc>
      </w:tr>
      <w:tr w14:paraId="161B7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42" w:type="dxa"/>
            <w:vAlign w:val="center"/>
          </w:tcPr>
          <w:p w14:paraId="028236C9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青岛华通国有资本投资运营集团有限公司</w:t>
            </w:r>
          </w:p>
        </w:tc>
        <w:tc>
          <w:tcPr>
            <w:tcW w:w="1635" w:type="dxa"/>
            <w:gridSpan w:val="2"/>
            <w:vAlign w:val="center"/>
          </w:tcPr>
          <w:p w14:paraId="0D53D8C4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国有法人</w:t>
            </w:r>
          </w:p>
        </w:tc>
        <w:tc>
          <w:tcPr>
            <w:tcW w:w="1125" w:type="dxa"/>
            <w:gridSpan w:val="2"/>
            <w:vAlign w:val="center"/>
          </w:tcPr>
          <w:p w14:paraId="5B300DB5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46.74%</w:t>
            </w:r>
          </w:p>
        </w:tc>
        <w:tc>
          <w:tcPr>
            <w:tcW w:w="1275" w:type="dxa"/>
            <w:vAlign w:val="center"/>
          </w:tcPr>
          <w:p w14:paraId="018A502B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91,134,905</w:t>
            </w:r>
          </w:p>
        </w:tc>
        <w:tc>
          <w:tcPr>
            <w:tcW w:w="1320" w:type="dxa"/>
            <w:vAlign w:val="center"/>
          </w:tcPr>
          <w:p w14:paraId="17025614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1071" w:type="dxa"/>
            <w:gridSpan w:val="2"/>
            <w:vAlign w:val="center"/>
          </w:tcPr>
          <w:p w14:paraId="2C202EE3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不适用</w:t>
            </w:r>
          </w:p>
        </w:tc>
        <w:tc>
          <w:tcPr>
            <w:tcW w:w="1071" w:type="dxa"/>
            <w:vAlign w:val="center"/>
          </w:tcPr>
          <w:p w14:paraId="4E6816AF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</w:tr>
      <w:tr w14:paraId="15BAE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42" w:type="dxa"/>
            <w:vAlign w:val="center"/>
          </w:tcPr>
          <w:p w14:paraId="4CD5300F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青岛食品股份有限公司未确权股份托管专用证券账户</w:t>
            </w:r>
          </w:p>
        </w:tc>
        <w:tc>
          <w:tcPr>
            <w:tcW w:w="1635" w:type="dxa"/>
            <w:gridSpan w:val="2"/>
            <w:vAlign w:val="center"/>
          </w:tcPr>
          <w:p w14:paraId="37B0E590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境内非国有法人</w:t>
            </w:r>
          </w:p>
        </w:tc>
        <w:tc>
          <w:tcPr>
            <w:tcW w:w="1125" w:type="dxa"/>
            <w:gridSpan w:val="2"/>
            <w:vAlign w:val="center"/>
          </w:tcPr>
          <w:p w14:paraId="4BA3A7F3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2.44%</w:t>
            </w:r>
          </w:p>
        </w:tc>
        <w:tc>
          <w:tcPr>
            <w:tcW w:w="1275" w:type="dxa"/>
            <w:vAlign w:val="center"/>
          </w:tcPr>
          <w:p w14:paraId="35CD968F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4,766,900</w:t>
            </w:r>
          </w:p>
        </w:tc>
        <w:tc>
          <w:tcPr>
            <w:tcW w:w="1320" w:type="dxa"/>
            <w:vAlign w:val="center"/>
          </w:tcPr>
          <w:p w14:paraId="75A9B04D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4,766,900</w:t>
            </w:r>
          </w:p>
        </w:tc>
        <w:tc>
          <w:tcPr>
            <w:tcW w:w="1071" w:type="dxa"/>
            <w:gridSpan w:val="2"/>
            <w:vAlign w:val="center"/>
          </w:tcPr>
          <w:p w14:paraId="13CD4E37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不适用</w:t>
            </w:r>
          </w:p>
        </w:tc>
        <w:tc>
          <w:tcPr>
            <w:tcW w:w="1071" w:type="dxa"/>
            <w:vAlign w:val="center"/>
          </w:tcPr>
          <w:p w14:paraId="6426C5A0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</w:tr>
      <w:tr w14:paraId="65669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42" w:type="dxa"/>
            <w:vAlign w:val="center"/>
          </w:tcPr>
          <w:p w14:paraId="3006A115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张莉</w:t>
            </w:r>
          </w:p>
        </w:tc>
        <w:tc>
          <w:tcPr>
            <w:tcW w:w="1635" w:type="dxa"/>
            <w:gridSpan w:val="2"/>
            <w:vAlign w:val="center"/>
          </w:tcPr>
          <w:p w14:paraId="03A9ABE1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境内自然人</w:t>
            </w:r>
          </w:p>
        </w:tc>
        <w:tc>
          <w:tcPr>
            <w:tcW w:w="1125" w:type="dxa"/>
            <w:gridSpan w:val="2"/>
            <w:vAlign w:val="center"/>
          </w:tcPr>
          <w:p w14:paraId="300D66A8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1.73%</w:t>
            </w:r>
          </w:p>
        </w:tc>
        <w:tc>
          <w:tcPr>
            <w:tcW w:w="1275" w:type="dxa"/>
            <w:vAlign w:val="center"/>
          </w:tcPr>
          <w:p w14:paraId="03DE5968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3,371,458</w:t>
            </w:r>
          </w:p>
        </w:tc>
        <w:tc>
          <w:tcPr>
            <w:tcW w:w="1320" w:type="dxa"/>
            <w:vAlign w:val="center"/>
          </w:tcPr>
          <w:p w14:paraId="6773211B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1071" w:type="dxa"/>
            <w:gridSpan w:val="2"/>
            <w:vAlign w:val="center"/>
          </w:tcPr>
          <w:p w14:paraId="0B1CE313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不适用</w:t>
            </w:r>
          </w:p>
        </w:tc>
        <w:tc>
          <w:tcPr>
            <w:tcW w:w="1071" w:type="dxa"/>
            <w:vAlign w:val="center"/>
          </w:tcPr>
          <w:p w14:paraId="32CEB9E9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</w:tr>
      <w:tr w14:paraId="0281D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42" w:type="dxa"/>
            <w:vAlign w:val="center"/>
          </w:tcPr>
          <w:p w14:paraId="3CE4F944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深圳市核子基因科技有限公司</w:t>
            </w:r>
          </w:p>
        </w:tc>
        <w:tc>
          <w:tcPr>
            <w:tcW w:w="1635" w:type="dxa"/>
            <w:gridSpan w:val="2"/>
            <w:vAlign w:val="center"/>
          </w:tcPr>
          <w:p w14:paraId="6B99031E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境内非国有法人</w:t>
            </w:r>
          </w:p>
        </w:tc>
        <w:tc>
          <w:tcPr>
            <w:tcW w:w="1125" w:type="dxa"/>
            <w:gridSpan w:val="2"/>
            <w:vAlign w:val="center"/>
          </w:tcPr>
          <w:p w14:paraId="06DC2C59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1.41%</w:t>
            </w:r>
          </w:p>
        </w:tc>
        <w:tc>
          <w:tcPr>
            <w:tcW w:w="1275" w:type="dxa"/>
            <w:vAlign w:val="center"/>
          </w:tcPr>
          <w:p w14:paraId="7DB0E357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2,749,856</w:t>
            </w:r>
          </w:p>
        </w:tc>
        <w:tc>
          <w:tcPr>
            <w:tcW w:w="1320" w:type="dxa"/>
            <w:vAlign w:val="center"/>
          </w:tcPr>
          <w:p w14:paraId="303077AD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1071" w:type="dxa"/>
            <w:gridSpan w:val="2"/>
            <w:vAlign w:val="center"/>
          </w:tcPr>
          <w:p w14:paraId="52F8E3B1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不适用</w:t>
            </w:r>
          </w:p>
        </w:tc>
        <w:tc>
          <w:tcPr>
            <w:tcW w:w="1071" w:type="dxa"/>
            <w:vAlign w:val="center"/>
          </w:tcPr>
          <w:p w14:paraId="2E393D5D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</w:tr>
      <w:tr w14:paraId="0898F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42" w:type="dxa"/>
            <w:vAlign w:val="center"/>
          </w:tcPr>
          <w:p w14:paraId="575F851B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刘英</w:t>
            </w:r>
          </w:p>
        </w:tc>
        <w:tc>
          <w:tcPr>
            <w:tcW w:w="1635" w:type="dxa"/>
            <w:gridSpan w:val="2"/>
            <w:vAlign w:val="center"/>
          </w:tcPr>
          <w:p w14:paraId="6EBF45BA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境内自然人</w:t>
            </w:r>
          </w:p>
        </w:tc>
        <w:tc>
          <w:tcPr>
            <w:tcW w:w="1125" w:type="dxa"/>
            <w:gridSpan w:val="2"/>
            <w:vAlign w:val="center"/>
          </w:tcPr>
          <w:p w14:paraId="4D630D81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0.77%</w:t>
            </w:r>
          </w:p>
        </w:tc>
        <w:tc>
          <w:tcPr>
            <w:tcW w:w="1275" w:type="dxa"/>
            <w:vAlign w:val="center"/>
          </w:tcPr>
          <w:p w14:paraId="520B1EED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1,500,000</w:t>
            </w:r>
          </w:p>
        </w:tc>
        <w:tc>
          <w:tcPr>
            <w:tcW w:w="1320" w:type="dxa"/>
            <w:vAlign w:val="center"/>
          </w:tcPr>
          <w:p w14:paraId="02FEFCF8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1071" w:type="dxa"/>
            <w:gridSpan w:val="2"/>
            <w:vAlign w:val="center"/>
          </w:tcPr>
          <w:p w14:paraId="192072EF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不适用</w:t>
            </w:r>
          </w:p>
        </w:tc>
        <w:tc>
          <w:tcPr>
            <w:tcW w:w="1071" w:type="dxa"/>
            <w:vAlign w:val="center"/>
          </w:tcPr>
          <w:p w14:paraId="13073044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</w:tr>
      <w:tr w14:paraId="4085F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42" w:type="dxa"/>
            <w:vAlign w:val="center"/>
          </w:tcPr>
          <w:p w14:paraId="241C2A06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邵娜娜</w:t>
            </w:r>
          </w:p>
        </w:tc>
        <w:tc>
          <w:tcPr>
            <w:tcW w:w="1635" w:type="dxa"/>
            <w:gridSpan w:val="2"/>
            <w:vAlign w:val="center"/>
          </w:tcPr>
          <w:p w14:paraId="16EBCB98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境内自然人</w:t>
            </w:r>
          </w:p>
        </w:tc>
        <w:tc>
          <w:tcPr>
            <w:tcW w:w="1125" w:type="dxa"/>
            <w:gridSpan w:val="2"/>
            <w:vAlign w:val="center"/>
          </w:tcPr>
          <w:p w14:paraId="7E5DAE2A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0.76%</w:t>
            </w:r>
          </w:p>
        </w:tc>
        <w:tc>
          <w:tcPr>
            <w:tcW w:w="1275" w:type="dxa"/>
            <w:vAlign w:val="center"/>
          </w:tcPr>
          <w:p w14:paraId="3B8E0892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1,474,150</w:t>
            </w:r>
          </w:p>
        </w:tc>
        <w:tc>
          <w:tcPr>
            <w:tcW w:w="1320" w:type="dxa"/>
            <w:vAlign w:val="center"/>
          </w:tcPr>
          <w:p w14:paraId="104A20E4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1071" w:type="dxa"/>
            <w:gridSpan w:val="2"/>
            <w:vAlign w:val="center"/>
          </w:tcPr>
          <w:p w14:paraId="5BA05586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不适用</w:t>
            </w:r>
          </w:p>
        </w:tc>
        <w:tc>
          <w:tcPr>
            <w:tcW w:w="1071" w:type="dxa"/>
            <w:vAlign w:val="center"/>
          </w:tcPr>
          <w:p w14:paraId="6DBAEE45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</w:tr>
      <w:tr w14:paraId="7BCE8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42" w:type="dxa"/>
            <w:vAlign w:val="center"/>
          </w:tcPr>
          <w:p w14:paraId="15F10E2E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王莉</w:t>
            </w:r>
          </w:p>
        </w:tc>
        <w:tc>
          <w:tcPr>
            <w:tcW w:w="1635" w:type="dxa"/>
            <w:gridSpan w:val="2"/>
            <w:vAlign w:val="center"/>
          </w:tcPr>
          <w:p w14:paraId="6F695673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境内自然人</w:t>
            </w:r>
          </w:p>
        </w:tc>
        <w:tc>
          <w:tcPr>
            <w:tcW w:w="1125" w:type="dxa"/>
            <w:gridSpan w:val="2"/>
            <w:vAlign w:val="center"/>
          </w:tcPr>
          <w:p w14:paraId="67CCA11B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0.67%</w:t>
            </w:r>
          </w:p>
        </w:tc>
        <w:tc>
          <w:tcPr>
            <w:tcW w:w="1275" w:type="dxa"/>
            <w:vAlign w:val="center"/>
          </w:tcPr>
          <w:p w14:paraId="6B5979D2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1,307,872</w:t>
            </w:r>
          </w:p>
        </w:tc>
        <w:tc>
          <w:tcPr>
            <w:tcW w:w="1320" w:type="dxa"/>
            <w:vAlign w:val="center"/>
          </w:tcPr>
          <w:p w14:paraId="371FB33C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1071" w:type="dxa"/>
            <w:gridSpan w:val="2"/>
            <w:vAlign w:val="center"/>
          </w:tcPr>
          <w:p w14:paraId="667C7D31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不适用</w:t>
            </w:r>
          </w:p>
        </w:tc>
        <w:tc>
          <w:tcPr>
            <w:tcW w:w="1071" w:type="dxa"/>
            <w:vAlign w:val="center"/>
          </w:tcPr>
          <w:p w14:paraId="53F501AF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</w:tr>
      <w:tr w14:paraId="35012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42" w:type="dxa"/>
            <w:vAlign w:val="center"/>
          </w:tcPr>
          <w:p w14:paraId="0E31BCC1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金飚</w:t>
            </w:r>
          </w:p>
        </w:tc>
        <w:tc>
          <w:tcPr>
            <w:tcW w:w="1635" w:type="dxa"/>
            <w:gridSpan w:val="2"/>
            <w:vAlign w:val="center"/>
          </w:tcPr>
          <w:p w14:paraId="0B2C1B3B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境内自然人</w:t>
            </w:r>
          </w:p>
        </w:tc>
        <w:tc>
          <w:tcPr>
            <w:tcW w:w="1125" w:type="dxa"/>
            <w:gridSpan w:val="2"/>
            <w:vAlign w:val="center"/>
          </w:tcPr>
          <w:p w14:paraId="6E5CBFB5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0.65%</w:t>
            </w:r>
          </w:p>
        </w:tc>
        <w:tc>
          <w:tcPr>
            <w:tcW w:w="1275" w:type="dxa"/>
            <w:vAlign w:val="center"/>
          </w:tcPr>
          <w:p w14:paraId="5FD13DB7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1,271,200</w:t>
            </w:r>
          </w:p>
        </w:tc>
        <w:tc>
          <w:tcPr>
            <w:tcW w:w="1320" w:type="dxa"/>
            <w:vAlign w:val="center"/>
          </w:tcPr>
          <w:p w14:paraId="00574987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1071" w:type="dxa"/>
            <w:gridSpan w:val="2"/>
            <w:vAlign w:val="center"/>
          </w:tcPr>
          <w:p w14:paraId="5767EEBD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不适用</w:t>
            </w:r>
          </w:p>
        </w:tc>
        <w:tc>
          <w:tcPr>
            <w:tcW w:w="1071" w:type="dxa"/>
            <w:vAlign w:val="center"/>
          </w:tcPr>
          <w:p w14:paraId="133F1641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</w:tr>
      <w:tr w14:paraId="57B47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42" w:type="dxa"/>
            <w:vAlign w:val="center"/>
          </w:tcPr>
          <w:p w14:paraId="5E8A806C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金明娟</w:t>
            </w:r>
          </w:p>
        </w:tc>
        <w:tc>
          <w:tcPr>
            <w:tcW w:w="1635" w:type="dxa"/>
            <w:gridSpan w:val="2"/>
            <w:vAlign w:val="center"/>
          </w:tcPr>
          <w:p w14:paraId="69AA9891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境内自然人</w:t>
            </w:r>
          </w:p>
        </w:tc>
        <w:tc>
          <w:tcPr>
            <w:tcW w:w="1125" w:type="dxa"/>
            <w:gridSpan w:val="2"/>
            <w:vAlign w:val="center"/>
          </w:tcPr>
          <w:p w14:paraId="272EC3CA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0.59%</w:t>
            </w:r>
          </w:p>
        </w:tc>
        <w:tc>
          <w:tcPr>
            <w:tcW w:w="1275" w:type="dxa"/>
            <w:vAlign w:val="center"/>
          </w:tcPr>
          <w:p w14:paraId="34DE50DD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1,143,238</w:t>
            </w:r>
          </w:p>
        </w:tc>
        <w:tc>
          <w:tcPr>
            <w:tcW w:w="1320" w:type="dxa"/>
            <w:vAlign w:val="center"/>
          </w:tcPr>
          <w:p w14:paraId="47338E54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1071" w:type="dxa"/>
            <w:gridSpan w:val="2"/>
            <w:vAlign w:val="center"/>
          </w:tcPr>
          <w:p w14:paraId="33F74FE0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不适用</w:t>
            </w:r>
          </w:p>
        </w:tc>
        <w:tc>
          <w:tcPr>
            <w:tcW w:w="1071" w:type="dxa"/>
            <w:vAlign w:val="center"/>
          </w:tcPr>
          <w:p w14:paraId="583CF0EF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</w:tr>
      <w:tr w14:paraId="21609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42" w:type="dxa"/>
            <w:vAlign w:val="center"/>
          </w:tcPr>
          <w:p w14:paraId="1AAD6C40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青岛煜禾投资有限公司</w:t>
            </w:r>
          </w:p>
        </w:tc>
        <w:tc>
          <w:tcPr>
            <w:tcW w:w="1635" w:type="dxa"/>
            <w:gridSpan w:val="2"/>
            <w:vAlign w:val="center"/>
          </w:tcPr>
          <w:p w14:paraId="2E458C0C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境内非国有法人</w:t>
            </w:r>
          </w:p>
        </w:tc>
        <w:tc>
          <w:tcPr>
            <w:tcW w:w="1125" w:type="dxa"/>
            <w:gridSpan w:val="2"/>
            <w:vAlign w:val="center"/>
          </w:tcPr>
          <w:p w14:paraId="4B2F90B5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0.57%</w:t>
            </w:r>
          </w:p>
        </w:tc>
        <w:tc>
          <w:tcPr>
            <w:tcW w:w="1275" w:type="dxa"/>
            <w:vAlign w:val="center"/>
          </w:tcPr>
          <w:p w14:paraId="140BB803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1,111,100</w:t>
            </w:r>
          </w:p>
        </w:tc>
        <w:tc>
          <w:tcPr>
            <w:tcW w:w="1320" w:type="dxa"/>
            <w:vAlign w:val="center"/>
          </w:tcPr>
          <w:p w14:paraId="4143B9FB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1071" w:type="dxa"/>
            <w:gridSpan w:val="2"/>
            <w:vAlign w:val="center"/>
          </w:tcPr>
          <w:p w14:paraId="0EB4E35B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不适用</w:t>
            </w:r>
          </w:p>
        </w:tc>
        <w:tc>
          <w:tcPr>
            <w:tcW w:w="1071" w:type="dxa"/>
            <w:vAlign w:val="center"/>
          </w:tcPr>
          <w:p w14:paraId="7C2D6F5D">
            <w:pPr>
              <w:spacing w:before="0" w:after="0" w:line="240" w:lineRule="exact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</w:tr>
      <w:tr w14:paraId="0111F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42" w:type="dxa"/>
            <w:shd w:val="clear" w:color="auto" w:fill="D3D3D3"/>
            <w:vAlign w:val="center"/>
          </w:tcPr>
          <w:p w14:paraId="3DF6B870">
            <w:pPr>
              <w:spacing w:before="40" w:after="4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上述股东关联关系或一致行动的说明</w:t>
            </w:r>
          </w:p>
        </w:tc>
        <w:tc>
          <w:tcPr>
            <w:tcW w:w="7497" w:type="dxa"/>
            <w:gridSpan w:val="9"/>
            <w:vAlign w:val="center"/>
          </w:tcPr>
          <w:p w14:paraId="3ED6AD84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青岛华通国有资本投资运营集团有限公司系公司控股股东、实际控制人，持有公司46.74%的股份。除此之外，公司未知上述其他股东之间是否存在关联关系，是否属于一致行动人关系。</w:t>
            </w:r>
          </w:p>
        </w:tc>
      </w:tr>
      <w:tr w14:paraId="29038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142" w:type="dxa"/>
            <w:shd w:val="clear" w:color="auto" w:fill="D3D3D3"/>
            <w:vAlign w:val="center"/>
          </w:tcPr>
          <w:p w14:paraId="01B71C80">
            <w:pPr>
              <w:spacing w:before="40" w:after="4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参与融资融券业务股东情况说明</w:t>
            </w:r>
          </w:p>
        </w:tc>
        <w:tc>
          <w:tcPr>
            <w:tcW w:w="7497" w:type="dxa"/>
            <w:gridSpan w:val="9"/>
            <w:vAlign w:val="center"/>
          </w:tcPr>
          <w:p w14:paraId="588FAD9F">
            <w:pPr>
              <w:spacing w:before="0" w:after="0" w:line="240" w:lineRule="exact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金飚通过普通证券账户持有244,000股，通过信用交易担保证券账户持有1,027,200股；金明娟通过普通证券账户持有21,600股，通过信用交易担保证券账户持有1,121,638股。</w:t>
            </w:r>
          </w:p>
        </w:tc>
      </w:tr>
    </w:tbl>
    <w:p w14:paraId="1461FEB3">
      <w:pPr>
        <w:spacing w:before="100" w:after="100" w:line="240" w:lineRule="exact"/>
        <w:jc w:val="lef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持股5%以上股东、前10名股东及前10名无限售流通股股东参与转融通业务出借股份情况</w:t>
      </w:r>
    </w:p>
    <w:p w14:paraId="19ED9257">
      <w:pPr>
        <w:spacing w:before="0" w:after="0" w:line="240" w:lineRule="exact"/>
        <w:jc w:val="lef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 xml:space="preserve">□适用 </w:t>
      </w:r>
      <w:r>
        <w:rPr>
          <w:rFonts w:ascii="宋体" w:hAnsi="宋体" w:eastAsia="宋体" w:cs="宋体"/>
          <w:sz w:val="18"/>
          <w:szCs w:val="18"/>
        </w:rPr>
        <w:sym w:font="Wingdings 2" w:char="F052"/>
      </w:r>
      <w:r>
        <w:rPr>
          <w:rFonts w:ascii="宋体" w:hAnsi="宋体" w:eastAsia="宋体" w:cs="宋体"/>
          <w:sz w:val="18"/>
          <w:szCs w:val="18"/>
        </w:rPr>
        <w:t>不适用</w:t>
      </w:r>
    </w:p>
    <w:p w14:paraId="49023F67">
      <w:pPr>
        <w:spacing w:before="100" w:after="100" w:line="240" w:lineRule="exact"/>
        <w:jc w:val="lef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前10名股东及前10名无限售流通股股东因转融通出借/归还原因导致较上期发生变化</w:t>
      </w:r>
    </w:p>
    <w:p w14:paraId="141A09AD">
      <w:pPr>
        <w:spacing w:before="0" w:after="0" w:line="240" w:lineRule="exact"/>
        <w:jc w:val="lef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 xml:space="preserve">□适用 </w:t>
      </w:r>
      <w:r>
        <w:rPr>
          <w:rFonts w:ascii="宋体" w:hAnsi="宋体" w:eastAsia="宋体" w:cs="宋体"/>
          <w:sz w:val="18"/>
          <w:szCs w:val="18"/>
        </w:rPr>
        <w:sym w:font="Wingdings 2" w:char="F052"/>
      </w:r>
      <w:r>
        <w:rPr>
          <w:rFonts w:ascii="宋体" w:hAnsi="宋体" w:eastAsia="宋体" w:cs="宋体"/>
          <w:sz w:val="18"/>
          <w:szCs w:val="18"/>
        </w:rPr>
        <w:t>不适用</w:t>
      </w:r>
    </w:p>
    <w:p w14:paraId="610AC758">
      <w:pPr>
        <w:pStyle w:val="3"/>
        <w:keepNext/>
        <w:keepLines/>
        <w:spacing w:before="300" w:after="300" w:line="280" w:lineRule="exact"/>
        <w:jc w:val="left"/>
        <w:outlineLvl w:val="2"/>
        <w:rPr>
          <w:rFonts w:ascii="宋体" w:hAnsi="宋体" w:eastAsia="宋体" w:cs="宋体"/>
          <w:b/>
          <w:bCs/>
          <w:sz w:val="21"/>
          <w:szCs w:val="21"/>
        </w:rPr>
      </w:pPr>
      <w:bookmarkStart w:id="5" w:name="_Toc988894"/>
      <w:r>
        <w:rPr>
          <w:rFonts w:ascii="宋体" w:hAnsi="宋体" w:eastAsia="宋体" w:cs="宋体"/>
          <w:b/>
          <w:bCs/>
          <w:sz w:val="21"/>
          <w:szCs w:val="21"/>
        </w:rPr>
        <w:t>4、控股股东或实际控制人变更情况</w:t>
      </w:r>
      <w:bookmarkEnd w:id="5"/>
    </w:p>
    <w:p w14:paraId="7BDA3F6E">
      <w:pPr>
        <w:spacing w:before="100" w:after="100" w:line="240" w:lineRule="exact"/>
        <w:jc w:val="lef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控股股东报告期内变更</w:t>
      </w:r>
    </w:p>
    <w:p w14:paraId="41C59EFA">
      <w:pPr>
        <w:spacing w:before="100" w:after="100" w:line="240" w:lineRule="exact"/>
        <w:jc w:val="lef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 xml:space="preserve">□适用 </w:t>
      </w:r>
      <w:r>
        <w:rPr>
          <w:rFonts w:ascii="宋体" w:hAnsi="宋体" w:eastAsia="宋体" w:cs="宋体"/>
          <w:sz w:val="18"/>
          <w:szCs w:val="18"/>
        </w:rPr>
        <w:sym w:font="Wingdings 2" w:char="F052"/>
      </w:r>
      <w:r>
        <w:rPr>
          <w:rFonts w:ascii="宋体" w:hAnsi="宋体" w:eastAsia="宋体" w:cs="宋体"/>
          <w:sz w:val="18"/>
          <w:szCs w:val="18"/>
        </w:rPr>
        <w:t>不适用</w:t>
      </w:r>
    </w:p>
    <w:p w14:paraId="743A8D18">
      <w:pPr>
        <w:spacing w:before="100" w:after="100" w:line="240" w:lineRule="exact"/>
        <w:jc w:val="lef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公司报告期控股股东未发生变更。</w:t>
      </w:r>
    </w:p>
    <w:p w14:paraId="1BA8E2E3">
      <w:pPr>
        <w:spacing w:before="100" w:after="100" w:line="240" w:lineRule="exact"/>
        <w:jc w:val="lef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实际控制人报告期内变更</w:t>
      </w:r>
    </w:p>
    <w:p w14:paraId="3540DC41">
      <w:pPr>
        <w:spacing w:before="100" w:after="100" w:line="240" w:lineRule="exact"/>
        <w:jc w:val="lef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 xml:space="preserve">□适用 </w:t>
      </w:r>
      <w:r>
        <w:rPr>
          <w:rFonts w:ascii="宋体" w:hAnsi="宋体" w:eastAsia="宋体" w:cs="宋体"/>
          <w:sz w:val="18"/>
          <w:szCs w:val="18"/>
        </w:rPr>
        <w:sym w:font="Wingdings 2" w:char="F052"/>
      </w:r>
      <w:r>
        <w:rPr>
          <w:rFonts w:ascii="宋体" w:hAnsi="宋体" w:eastAsia="宋体" w:cs="宋体"/>
          <w:sz w:val="18"/>
          <w:szCs w:val="18"/>
        </w:rPr>
        <w:t>不适用</w:t>
      </w:r>
    </w:p>
    <w:p w14:paraId="1928D740">
      <w:pPr>
        <w:spacing w:before="100" w:after="100" w:line="240" w:lineRule="exact"/>
        <w:jc w:val="lef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公司报告期实际控制人未发生变更。</w:t>
      </w:r>
    </w:p>
    <w:p w14:paraId="737B142F">
      <w:pPr>
        <w:pStyle w:val="3"/>
        <w:keepNext/>
        <w:keepLines/>
        <w:spacing w:before="300" w:after="300" w:line="280" w:lineRule="exact"/>
        <w:jc w:val="left"/>
        <w:outlineLvl w:val="2"/>
        <w:rPr>
          <w:rFonts w:ascii="宋体" w:hAnsi="宋体" w:eastAsia="宋体" w:cs="宋体"/>
          <w:b/>
          <w:bCs/>
          <w:sz w:val="21"/>
          <w:szCs w:val="21"/>
        </w:rPr>
      </w:pPr>
      <w:bookmarkStart w:id="6" w:name="_Toc988895"/>
      <w:r>
        <w:rPr>
          <w:rFonts w:ascii="宋体" w:hAnsi="宋体" w:eastAsia="宋体" w:cs="宋体"/>
          <w:b/>
          <w:bCs/>
          <w:sz w:val="21"/>
          <w:szCs w:val="21"/>
        </w:rPr>
        <w:t>5、公司优先股股东总数及前10名优先股股东持股情况表</w:t>
      </w:r>
      <w:bookmarkEnd w:id="6"/>
    </w:p>
    <w:p w14:paraId="474B4BF7">
      <w:pPr>
        <w:spacing w:before="40" w:after="40" w:line="240" w:lineRule="exact"/>
        <w:jc w:val="lef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 xml:space="preserve">□适用 </w:t>
      </w:r>
      <w:r>
        <w:rPr>
          <w:rFonts w:ascii="宋体" w:hAnsi="宋体" w:eastAsia="宋体" w:cs="宋体"/>
          <w:sz w:val="18"/>
          <w:szCs w:val="18"/>
        </w:rPr>
        <w:sym w:font="Wingdings 2" w:char="F052"/>
      </w:r>
      <w:r>
        <w:rPr>
          <w:rFonts w:ascii="宋体" w:hAnsi="宋体" w:eastAsia="宋体" w:cs="宋体"/>
          <w:sz w:val="18"/>
          <w:szCs w:val="18"/>
        </w:rPr>
        <w:t>不适用</w:t>
      </w:r>
    </w:p>
    <w:p w14:paraId="3B2F96F8">
      <w:pPr>
        <w:spacing w:before="0" w:after="0" w:line="240" w:lineRule="exact"/>
        <w:jc w:val="lef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公司报告期无优先股股东持股情况。</w:t>
      </w:r>
    </w:p>
    <w:p w14:paraId="6254B5EA">
      <w:pPr>
        <w:pStyle w:val="3"/>
        <w:keepNext/>
        <w:keepLines/>
        <w:spacing w:before="300" w:after="300" w:line="280" w:lineRule="exact"/>
        <w:jc w:val="left"/>
        <w:outlineLvl w:val="2"/>
        <w:rPr>
          <w:rFonts w:ascii="宋体" w:hAnsi="宋体" w:eastAsia="宋体" w:cs="宋体"/>
          <w:b/>
          <w:bCs/>
          <w:sz w:val="21"/>
          <w:szCs w:val="21"/>
        </w:rPr>
      </w:pPr>
      <w:bookmarkStart w:id="7" w:name="_Toc988896"/>
      <w:r>
        <w:rPr>
          <w:rFonts w:ascii="宋体" w:hAnsi="宋体" w:eastAsia="宋体" w:cs="宋体"/>
          <w:b/>
          <w:bCs/>
          <w:sz w:val="21"/>
          <w:szCs w:val="21"/>
        </w:rPr>
        <w:t>6、在半年度报告批准报出日存续的债券情况</w:t>
      </w:r>
      <w:bookmarkEnd w:id="7"/>
    </w:p>
    <w:p w14:paraId="2C8B8C41">
      <w:pPr>
        <w:spacing w:before="40" w:after="40" w:line="240" w:lineRule="exact"/>
        <w:jc w:val="lef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 xml:space="preserve">□适用 </w:t>
      </w:r>
      <w:r>
        <w:rPr>
          <w:rFonts w:ascii="宋体" w:hAnsi="宋体" w:eastAsia="宋体" w:cs="宋体"/>
          <w:sz w:val="18"/>
          <w:szCs w:val="18"/>
        </w:rPr>
        <w:sym w:font="Wingdings 2" w:char="F052"/>
      </w:r>
      <w:r>
        <w:rPr>
          <w:rFonts w:ascii="宋体" w:hAnsi="宋体" w:eastAsia="宋体" w:cs="宋体"/>
          <w:sz w:val="18"/>
          <w:szCs w:val="18"/>
        </w:rPr>
        <w:t>不适用</w:t>
      </w:r>
    </w:p>
    <w:p w14:paraId="7A038FAB">
      <w:pPr>
        <w:pStyle w:val="2"/>
        <w:keepNext/>
        <w:keepLines/>
        <w:spacing w:before="300" w:after="300" w:line="320" w:lineRule="exact"/>
        <w:jc w:val="left"/>
        <w:outlineLvl w:val="1"/>
        <w:rPr>
          <w:rFonts w:ascii="宋体" w:hAnsi="宋体" w:eastAsia="宋体" w:cs="宋体"/>
          <w:b/>
          <w:bCs/>
          <w:sz w:val="24"/>
          <w:szCs w:val="24"/>
        </w:rPr>
      </w:pPr>
      <w:bookmarkStart w:id="8" w:name="_Toc988897"/>
      <w:r>
        <w:rPr>
          <w:rFonts w:ascii="宋体" w:hAnsi="宋体" w:eastAsia="宋体" w:cs="宋体"/>
          <w:b/>
          <w:bCs/>
          <w:sz w:val="24"/>
          <w:szCs w:val="24"/>
        </w:rPr>
        <w:t>三、重要事项</w:t>
      </w:r>
      <w:bookmarkEnd w:id="8"/>
    </w:p>
    <w:p w14:paraId="629BE4E4">
      <w:pPr>
        <w:pStyle w:val="6"/>
        <w:keepNext w:val="0"/>
        <w:keepLines w:val="0"/>
        <w:widowControl/>
        <w:suppressLineNumbers w:val="0"/>
        <w:rPr>
          <w:rFonts w:hint="eastAsia" w:ascii="宋体" w:hAnsi="宋体" w:eastAsia="宋体" w:cs="宋体"/>
          <w:sz w:val="18"/>
          <w:szCs w:val="18"/>
        </w:rPr>
      </w:pPr>
      <w:r>
        <w:rPr>
          <w:rFonts w:hint="eastAsia" w:ascii="宋体" w:hAnsi="宋体" w:eastAsia="宋体" w:cs="宋体"/>
          <w:sz w:val="18"/>
          <w:szCs w:val="18"/>
        </w:rPr>
        <w:t>无。</w:t>
      </w:r>
    </w:p>
    <w:p w14:paraId="38E96685">
      <w:pPr>
        <w:pStyle w:val="6"/>
        <w:keepNext w:val="0"/>
        <w:keepLines w:val="0"/>
        <w:widowControl/>
        <w:suppressLineNumbers w:val="0"/>
        <w:rPr>
          <w:rFonts w:hint="eastAsia" w:ascii="宋体" w:hAnsi="宋体" w:eastAsia="宋体" w:cs="宋体"/>
          <w:sz w:val="18"/>
          <w:szCs w:val="18"/>
        </w:rPr>
      </w:pPr>
    </w:p>
    <w:p w14:paraId="7D423BB6">
      <w:pPr>
        <w:pStyle w:val="6"/>
        <w:keepNext w:val="0"/>
        <w:keepLines w:val="0"/>
        <w:widowControl/>
        <w:suppressLineNumbers w:val="0"/>
        <w:rPr>
          <w:rFonts w:hint="eastAsia" w:ascii="宋体" w:hAnsi="宋体" w:eastAsia="宋体" w:cs="宋体"/>
          <w:sz w:val="18"/>
          <w:szCs w:val="18"/>
        </w:rPr>
      </w:pPr>
    </w:p>
    <w:p w14:paraId="579A329C">
      <w:pPr>
        <w:pStyle w:val="6"/>
        <w:keepNext w:val="0"/>
        <w:keepLines w:val="0"/>
        <w:widowControl/>
        <w:suppressLineNumbers w:val="0"/>
        <w:jc w:val="righ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青岛食品股份有限公司</w:t>
      </w:r>
    </w:p>
    <w:p w14:paraId="4FB2EAD4">
      <w:pPr>
        <w:pStyle w:val="6"/>
        <w:keepNext w:val="0"/>
        <w:keepLines w:val="0"/>
        <w:widowControl/>
        <w:suppressLineNumbers w:val="0"/>
        <w:jc w:val="righ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董事会</w:t>
      </w:r>
    </w:p>
    <w:p w14:paraId="375CC04C">
      <w:pPr>
        <w:pStyle w:val="6"/>
        <w:keepNext w:val="0"/>
        <w:keepLines w:val="0"/>
        <w:widowControl/>
        <w:suppressLineNumbers w:val="0"/>
        <w:jc w:val="righ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2026年8月21日</w:t>
      </w:r>
    </w:p>
    <w:sectPr>
      <w:headerReference r:id="rId3" w:type="default"/>
      <w:footerReference r:id="rId4" w:type="default"/>
      <w:pgSz w:w="11905" w:h="16840"/>
      <w:pgMar w:top="1440" w:right="1134" w:bottom="1440" w:left="1134" w:header="850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F0FB6D">
    <w:pPr>
      <w:pStyle w:val="11"/>
    </w:pPr>
    <w:r>
      <w:fldChar w:fldCharType="begin"/>
    </w:r>
    <w:r>
      <w:instrText xml:space="preserve">PAGE   \* MERGEFORMAT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8BE1F3">
    <w:pPr>
      <w:pStyle w:val="9"/>
      <w:pBdr>
        <w:bottom w:val="single" w:color="auto" w:sz="6" w:space="1"/>
      </w:pBd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-22860</wp:posOffset>
          </wp:positionH>
          <wp:positionV relativeFrom="paragraph">
            <wp:posOffset>-609600</wp:posOffset>
          </wp:positionV>
          <wp:extent cx="960755" cy="960755"/>
          <wp:effectExtent l="0" t="0" r="0" b="0"/>
          <wp:wrapNone/>
          <wp:docPr id="1" name="图片 1" descr="微信图片_202312011606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微信图片_2023120116065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755" cy="960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青岛食品股份有限公司2026年半年度报告摘要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doNotExpandShiftReturn/>
    <w:useFELayout/>
    <w:compatSetting w:name="compatibilityMode" w:uri="http://schemas.microsoft.com/office/word" w:val="14"/>
  </w:compat>
  <w:rsids>
    <w:rsidRoot w:val="00000000"/>
    <w:rsid w:val="121742A4"/>
    <w:rsid w:val="2A660123"/>
    <w:rsid w:val="71164B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39" w:semiHidden="0" w:name="toc 1"/>
    <w:lsdException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left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156" w:after="156" w:line="240" w:lineRule="auto"/>
      <w:outlineLvl w:val="1"/>
    </w:pPr>
    <w:rPr>
      <w:sz w:val="21"/>
      <w:szCs w:val="21"/>
    </w:rPr>
  </w:style>
  <w:style w:type="paragraph" w:styleId="3">
    <w:name w:val="heading 3"/>
    <w:basedOn w:val="1"/>
    <w:next w:val="1"/>
    <w:qFormat/>
    <w:uiPriority w:val="99"/>
    <w:pPr>
      <w:keepNext/>
      <w:keepLines/>
      <w:spacing w:before="300" w:after="300" w:line="241" w:lineRule="auto"/>
      <w:jc w:val="both"/>
      <w:outlineLvl w:val="2"/>
    </w:pPr>
    <w:rPr>
      <w:rFonts w:eastAsia="宋体"/>
      <w:sz w:val="21"/>
      <w:szCs w:val="21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1"/>
    <w:basedOn w:val="1"/>
    <w:next w:val="1"/>
    <w:autoRedefine/>
    <w:uiPriority w:val="39"/>
  </w:style>
  <w:style w:type="paragraph" w:styleId="5">
    <w:name w:val="toc 2"/>
    <w:basedOn w:val="1"/>
    <w:next w:val="1"/>
    <w:autoRedefine/>
    <w:unhideWhenUsed/>
    <w:uiPriority w:val="39"/>
    <w:pPr>
      <w:ind w:left="420" w:leftChars="20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Header 1"/>
    <w:uiPriority w:val="0"/>
    <w:pPr>
      <w:jc w:val="right"/>
    </w:pPr>
    <w:rPr>
      <w:rFonts w:ascii="宋体" w:hAnsi="Times New Roman" w:eastAsia="宋体" w:cs="Times New Roman"/>
      <w:sz w:val="18"/>
      <w:szCs w:val="18"/>
    </w:rPr>
  </w:style>
  <w:style w:type="paragraph" w:customStyle="1" w:styleId="10">
    <w:name w:val="heading h1"/>
    <w:basedOn w:val="1"/>
    <w:next w:val="1"/>
    <w:qFormat/>
    <w:uiPriority w:val="9"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11">
    <w:name w:val="fotter 1"/>
    <w:qFormat/>
    <w:uiPriority w:val="0"/>
    <w:pPr>
      <w:jc w:val="right"/>
    </w:pPr>
    <w:rPr>
      <w:rFonts w:ascii="宋体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1383</Words>
  <Characters>1861</Characters>
  <TotalTime>4</TotalTime>
  <ScaleCrop>false</ScaleCrop>
  <LinksUpToDate>false</LinksUpToDate>
  <CharactersWithSpaces>1916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2026-08-19T09:05:00Z</dcterms:created>
  <dc:creator>Administrator</dc:creator>
  <cp:lastModifiedBy>李春宏</cp:lastModifiedBy>
  <dcterms:modified xsi:type="dcterms:W3CDTF">2026-08-19T10:17:08Z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eyJoZGlkIjoiYTE2YjhhMjQ3NWEyOTgzMmEzNDFiNjBlMTVjNmYyNGIiLCJ1c2VySWQiOiIxNTc0NzMxNDQ4In0=</vt:lpwstr>
  </property>
  <property fmtid="{D5CDD505-2E9C-101B-9397-08002B2CF9AE}" pid="3" name="KSOProductBuildVer">
    <vt:lpwstr>2052-12.1.0.23542</vt:lpwstr>
  </property>
  <property fmtid="{D5CDD505-2E9C-101B-9397-08002B2CF9AE}" pid="4" name="ICV">
    <vt:lpwstr>7B7E2FE3CFCF4994A9BF25D91E6D3970_12</vt:lpwstr>
  </property>
</Properties>
</file>